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BB" w:rsidRDefault="00F574BB" w:rsidP="00177809">
      <w:pPr>
        <w:jc w:val="left"/>
      </w:pPr>
    </w:p>
    <w:p w:rsidR="00DA1544" w:rsidRDefault="00DA1544" w:rsidP="00DA1544">
      <w:pPr>
        <w:jc w:val="left"/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</w:pPr>
      <w:r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  <w:t>Chapitre 3</w:t>
      </w:r>
      <w:r>
        <w:rPr>
          <w:rFonts w:ascii="Arial-BoldMT" w:eastAsia="Times New Roman" w:hAnsi="Arial-BoldMT" w:cs="Times New Roman" w:hint="eastAsia"/>
          <w:b/>
          <w:bCs/>
          <w:color w:val="000000"/>
          <w:sz w:val="34"/>
          <w:lang w:eastAsia="fr-FR"/>
        </w:rPr>
        <w:t> </w:t>
      </w:r>
      <w:r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  <w:t xml:space="preserve">:       </w:t>
      </w:r>
    </w:p>
    <w:p w:rsidR="00DA1544" w:rsidRDefault="00DA1544" w:rsidP="00DA1544">
      <w:pPr>
        <w:jc w:val="left"/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</w:pPr>
      <w:r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  <w:t xml:space="preserve">                              </w:t>
      </w:r>
      <w:r w:rsidR="00177809" w:rsidRPr="00177809"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  <w:t xml:space="preserve">Impacts environnementaux </w:t>
      </w:r>
    </w:p>
    <w:p w:rsidR="00DA1544" w:rsidRDefault="00DA1544" w:rsidP="00DA1544">
      <w:pPr>
        <w:jc w:val="left"/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</w:pPr>
    </w:p>
    <w:p w:rsidR="00177809" w:rsidRPr="00177809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7809">
        <w:rPr>
          <w:rFonts w:ascii="ArialMT" w:eastAsia="Times New Roman" w:hAnsi="ArialMT" w:cs="Times New Roman"/>
          <w:color w:val="000000"/>
          <w:sz w:val="18"/>
          <w:szCs w:val="18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L’impact environnemental du recours à l’énergie englobe tous les impacts des activités de la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  <w:t>chaîne de conversion énergétique y compris le cycle de vie des équipements.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  <w:t>On analyse le cycle de vie de la ressource énergétique (N1), l’étape de conversion finale (N2) et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l’analyse du cycle de vie des équipements (N3).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  <w:t>Observation, l’utilisateur n’est généralement pas directement concerné par les étapes de la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  <w:t>chaîne énergétique.</w:t>
      </w:r>
    </w:p>
    <w:p w:rsidR="00177809" w:rsidRDefault="00177809" w:rsidP="00177809">
      <w:pPr>
        <w:jc w:val="left"/>
        <w:rPr>
          <w:noProof/>
          <w:lang w:eastAsia="fr-FR"/>
        </w:rPr>
      </w:pPr>
    </w:p>
    <w:p w:rsidR="00177809" w:rsidRDefault="00177809" w:rsidP="00177809">
      <w:pPr>
        <w:jc w:val="left"/>
      </w:pPr>
      <w:r>
        <w:rPr>
          <w:noProof/>
          <w:lang w:eastAsia="fr-FR"/>
        </w:rPr>
        <w:drawing>
          <wp:inline distT="0" distB="0" distL="0" distR="0">
            <wp:extent cx="5759450" cy="242919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809" w:rsidRDefault="00177809" w:rsidP="00177809">
      <w:pPr>
        <w:jc w:val="left"/>
      </w:pPr>
    </w:p>
    <w:p w:rsidR="00177809" w:rsidRDefault="00177809" w:rsidP="00177809">
      <w:pPr>
        <w:jc w:val="left"/>
      </w:pPr>
    </w:p>
    <w:p w:rsidR="000B7F62" w:rsidRDefault="00177809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lang w:eastAsia="fr-FR"/>
        </w:rPr>
      </w:pPr>
      <w:r w:rsidRPr="00177809">
        <w:rPr>
          <w:rFonts w:ascii="Arial-BoldMT" w:eastAsia="Times New Roman" w:hAnsi="Arial-BoldMT" w:cs="Times New Roman"/>
          <w:b/>
          <w:bCs/>
          <w:color w:val="000000"/>
          <w:sz w:val="34"/>
          <w:lang w:eastAsia="fr-FR"/>
        </w:rPr>
        <w:t>N1, N2 et N3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34"/>
          <w:szCs w:val="34"/>
          <w:lang w:eastAsia="fr-FR"/>
        </w:rPr>
        <w:br/>
      </w:r>
      <w:r w:rsidRPr="00177809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-BoldMT" w:eastAsia="Times New Roman" w:hAnsi="Arial-BoldMT" w:cs="Times New Roman"/>
          <w:b/>
          <w:bCs/>
          <w:color w:val="000000"/>
          <w:sz w:val="34"/>
          <w:szCs w:val="34"/>
          <w:lang w:eastAsia="fr-FR"/>
        </w:rPr>
        <w:t xml:space="preserve">L’impact environnemental apparaît </w:t>
      </w:r>
      <w:proofErr w:type="gramStart"/>
      <w:r w:rsidRPr="00177809">
        <w:rPr>
          <w:rFonts w:ascii="Arial-BoldMT" w:eastAsia="Times New Roman" w:hAnsi="Arial-BoldMT" w:cs="Times New Roman"/>
          <w:b/>
          <w:bCs/>
          <w:color w:val="000000"/>
          <w:sz w:val="34"/>
          <w:szCs w:val="34"/>
          <w:lang w:eastAsia="fr-FR"/>
        </w:rPr>
        <w:t>:</w:t>
      </w:r>
      <w:proofErr w:type="gramEnd"/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CC3300"/>
          <w:sz w:val="24"/>
          <w:lang w:eastAsia="fr-FR"/>
        </w:rPr>
        <w:t>N1 ressource amont: Extraction, transport, stockage, conditionnement combustibles</w:t>
      </w:r>
      <w:r w:rsidRPr="00177809">
        <w:rPr>
          <w:rFonts w:ascii="ArialMT" w:eastAsia="Times New Roman" w:hAnsi="ArialMT" w:cs="Times New Roman"/>
          <w:color w:val="CC33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Par exemples: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Pollutions (air, eau, sol, biosphère) et risques dû aux: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CourierNewPSMT" w:eastAsia="Times New Roman" w:hAnsi="CourierNewPSMT" w:cs="Times New Roman"/>
          <w:color w:val="000000"/>
          <w:sz w:val="24"/>
          <w:lang w:eastAsia="fr-FR"/>
        </w:rPr>
        <w:t xml:space="preserve">o </w:t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Activités minières, conditionnement et transport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CourierNewPSMT" w:eastAsia="Times New Roman" w:hAnsi="CourierNewPSMT" w:cs="Times New Roman"/>
          <w:color w:val="000000"/>
          <w:sz w:val="24"/>
          <w:lang w:eastAsia="fr-FR"/>
        </w:rPr>
        <w:t xml:space="preserve">o </w:t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Agriculture intensive (biomasse)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Finitude des réserves naturelles et espace occupé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Pertes énergétiques (extraction, transformation, transport)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CC3300"/>
          <w:sz w:val="24"/>
          <w:lang w:eastAsia="fr-FR"/>
        </w:rPr>
        <w:t>N1 ressource aval: Gestion déchets (-&gt; recyclage)</w:t>
      </w:r>
      <w:r w:rsidRPr="00177809">
        <w:rPr>
          <w:rFonts w:ascii="ArialMT" w:eastAsia="Times New Roman" w:hAnsi="ArialMT" w:cs="Times New Roman"/>
          <w:color w:val="CC3300"/>
          <w:sz w:val="24"/>
          <w:szCs w:val="24"/>
          <w:lang w:eastAsia="fr-FR"/>
        </w:rPr>
        <w:br/>
      </w:r>
    </w:p>
    <w:p w:rsidR="000B7F62" w:rsidRDefault="00177809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lang w:eastAsia="fr-FR"/>
        </w:rPr>
      </w:pP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Par exemples: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Pollutions (air, eau, sol, biosphère) et risques lors de la gestion des déchets (cendres</w:t>
      </w:r>
      <w:proofErr w:type="gramStart"/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,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déchets radioactifs)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CC3300"/>
          <w:sz w:val="24"/>
          <w:lang w:eastAsia="fr-FR"/>
        </w:rPr>
        <w:t>N2 conversion finale de la ressource</w:t>
      </w:r>
      <w:r w:rsidRPr="00177809">
        <w:rPr>
          <w:rFonts w:ascii="ArialMT" w:eastAsia="Times New Roman" w:hAnsi="ArialMT" w:cs="Times New Roman"/>
          <w:color w:val="CC3300"/>
          <w:sz w:val="24"/>
          <w:szCs w:val="24"/>
          <w:lang w:eastAsia="fr-FR"/>
        </w:rPr>
        <w:br/>
      </w:r>
    </w:p>
    <w:p w:rsidR="00177809" w:rsidRPr="00177809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lastRenderedPageBreak/>
        <w:t>Par exemples: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Pollutions (air, eau, sol, biosphère) et risques dû aux: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CourierNewPSMT" w:eastAsia="Times New Roman" w:hAnsi="CourierNewPSMT" w:cs="Times New Roman"/>
          <w:color w:val="000000"/>
          <w:sz w:val="24"/>
          <w:lang w:eastAsia="fr-FR"/>
        </w:rPr>
        <w:t xml:space="preserve">o </w:t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Emissions de gaz de combustion (CO</w:t>
      </w:r>
      <w:r w:rsidRPr="00177809">
        <w:rPr>
          <w:rFonts w:ascii="ArialMT" w:eastAsia="Times New Roman" w:hAnsi="ArialMT" w:cs="Times New Roman"/>
          <w:color w:val="000000"/>
          <w:sz w:val="16"/>
          <w:lang w:eastAsia="fr-FR"/>
        </w:rPr>
        <w:t>2</w:t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 xml:space="preserve">, </w:t>
      </w:r>
      <w:proofErr w:type="spellStart"/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NOx</w:t>
      </w:r>
      <w:proofErr w:type="spellEnd"/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, poussières, imbrûlés)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CourierNewPSMT" w:eastAsia="Times New Roman" w:hAnsi="CourierNewPSMT" w:cs="Times New Roman"/>
          <w:color w:val="000000"/>
          <w:sz w:val="24"/>
          <w:lang w:eastAsia="fr-FR"/>
        </w:rPr>
        <w:t xml:space="preserve">o </w:t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Procédé de conversion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CourierNewPSMT" w:eastAsia="Times New Roman" w:hAnsi="CourierNewPSMT" w:cs="Times New Roman"/>
          <w:color w:val="000000"/>
          <w:sz w:val="24"/>
          <w:lang w:eastAsia="fr-FR"/>
        </w:rPr>
        <w:t xml:space="preserve">o </w:t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Refroidissement, bruit &amp; vibration, paysage, modification des écosystèmes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Espace occupé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CC3300"/>
          <w:sz w:val="24"/>
          <w:lang w:eastAsia="fr-FR"/>
        </w:rPr>
        <w:t>N3 fabrication (et élimination) des équipements de conversion</w:t>
      </w:r>
      <w:r w:rsidRPr="00177809">
        <w:rPr>
          <w:rFonts w:ascii="ArialMT" w:eastAsia="Times New Roman" w:hAnsi="ArialMT" w:cs="Times New Roman"/>
          <w:color w:val="CC33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Par exemples: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Energie incorporée ou énergie grise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- Matériaux et produits mis en œuvre</w:t>
      </w:r>
    </w:p>
    <w:p w:rsidR="00177809" w:rsidRDefault="00177809" w:rsidP="00F83C69">
      <w:pPr>
        <w:spacing w:line="276" w:lineRule="auto"/>
        <w:jc w:val="left"/>
      </w:pPr>
    </w:p>
    <w:p w:rsidR="00177809" w:rsidRPr="000B7F62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Cinq catégories d’impacts environnementaux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Cinq grandes catégories d’impacts environnementaux: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1. Espace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occupé par l’activité énergétique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2. Pollution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de l’activité énergétique (air, eau, sol,</w:t>
      </w:r>
      <w:r w:rsid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biosphère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3. Emissions de CO2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ou gaz équivalent comme le</w:t>
      </w:r>
      <w:r w:rsid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CH4 (Changements climatiques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4. Risques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d’accidents graves et risques sanitaires</w:t>
      </w:r>
      <w:r w:rsid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(atteinte à la santé) associé à l’activité (transport,</w:t>
      </w:r>
      <w:r w:rsid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conversion, déchets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5. Prélèvement sur les ressources naturelles</w:t>
      </w:r>
    </w:p>
    <w:p w:rsidR="00177809" w:rsidRPr="000B7F62" w:rsidRDefault="00177809" w:rsidP="00F83C69">
      <w:pPr>
        <w:spacing w:line="276" w:lineRule="auto"/>
        <w:jc w:val="left"/>
        <w:rPr>
          <w:sz w:val="24"/>
          <w:szCs w:val="24"/>
        </w:rPr>
      </w:pPr>
    </w:p>
    <w:p w:rsidR="000B7F62" w:rsidRDefault="00177809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Comparaison des trois principales filières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L’impact environnemental est spécifique à chaque option énergétique et à la chaîne de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conversion.</w:t>
      </w:r>
    </w:p>
    <w:p w:rsidR="00177809" w:rsidRPr="000B7F62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Trois principales filières énergétiques: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Fossiles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- carburant ou un combustible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Produits pétroliers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Gaz naturel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Charbon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Nucléaire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- Electricité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Fission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Fusion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Renouvelables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-Electricité, combustibles, chaleur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Solaire (Thermique – Thermoélectrique – Photovoltaïque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Eolien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– </w:t>
      </w:r>
      <w:proofErr w:type="spell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Hydroénergétique</w:t>
      </w:r>
      <w:proofErr w:type="spellEnd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(cours d’eau, marin)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– Biomasse (bois, </w:t>
      </w:r>
      <w:proofErr w:type="spell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biométhanisation</w:t>
      </w:r>
      <w:proofErr w:type="spellEnd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, biocarburant)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– Chaleur naturelle (air, eau, sol, sous-sol)</w:t>
      </w:r>
    </w:p>
    <w:p w:rsidR="00177809" w:rsidRPr="000B7F62" w:rsidRDefault="00177809" w:rsidP="00F83C69">
      <w:pPr>
        <w:spacing w:line="276" w:lineRule="auto"/>
        <w:jc w:val="left"/>
        <w:rPr>
          <w:sz w:val="24"/>
          <w:szCs w:val="24"/>
        </w:rPr>
      </w:pPr>
    </w:p>
    <w:p w:rsidR="00177809" w:rsidRPr="000B7F62" w:rsidRDefault="00177809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Espace occupé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(1) Espace occupé: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marqué là où la ressource est exploitée surtout si la ressource est en</w:t>
      </w:r>
      <w:r w:rsid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surface (exploitation minière à ciel ouvert, soleil, vent, biomasse).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lastRenderedPageBreak/>
        <w:t>Impacts: Occupation du sol, visibilité ou présence dans le paysage</w:t>
      </w:r>
      <w:r w:rsid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Commentaires: Impact fréquemment rencontré avec les énergies renouvelables</w:t>
      </w:r>
    </w:p>
    <w:p w:rsidR="00177809" w:rsidRPr="000B7F62" w:rsidRDefault="00177809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</w:p>
    <w:p w:rsidR="00177809" w:rsidRPr="00177809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Pollution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</w:t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2) Pollution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par intrusion dans l’environnement. On distingue 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: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Pollutions chimiques (émissions de produits et substances altérant l’environnement ou la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santé),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Pollutions thermiques (rejets des systèmes de refroidissement)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Pollution physiques (bruit, vibration)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Pollution électromagnétiques (non ionisantes)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Pollutions radioactives (ionisantes)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Impacts: Dégradation de l’environnement et effets sanitaire.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 xml:space="preserve">Commentaires </w:t>
      </w:r>
      <w:proofErr w:type="gramStart"/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: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Les hydrocarbures, les intrants agricoles (engrais, produits phytosanitaires), les fumées, les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rejets d’eaux usées et les déchets résiduels constituent les vecteurs de pollution les plus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importants.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Le « niveau de dégradation » de l’environnement ou l’effet sanitaire dépend de la dangerosité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des éléments manipulés ou produits et de la fragilité du milieu touché.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Cette dégradation peut avoir des effets indirects. Par exemples, elle peut affecter la capacité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lang w:eastAsia="fr-FR"/>
        </w:rPr>
        <w:t>des populations dont l’environnement est touché, à subvenir aux besoins de subsistances.</w:t>
      </w:r>
    </w:p>
    <w:p w:rsidR="00177809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7809" w:rsidRPr="000B7F62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Emissions de CO2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(3) Emissions de CO2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se situent principalement à la conversion finale N2 (combustion)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,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mais peuvent aussi résulter indirectement des étapes d’approvisionnement et de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conditionnement des combustibles et des équipements (dans la mesure où ils requièrent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de l’énergie).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Impacts : Changements climatiques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Commentaires 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:</w:t>
      </w:r>
      <w:proofErr w:type="gramEnd"/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Elles sont principalement le résultat de la combustion de combustibles fossiles.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En ce qui concerne la biomasse, la diminution du volume de biosphère s’accompagne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indirectement d’émissions de CO2. Et inversement, l’augmentation du volume de biosphère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diminue la quantité de CO2 dans l’atmosphère.</w:t>
      </w:r>
    </w:p>
    <w:p w:rsidR="00177809" w:rsidRPr="000B7F62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7809" w:rsidRPr="000B7F62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Risque</w:t>
      </w:r>
      <w:r w:rsidRPr="0017780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(4)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Les </w:t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risques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d’accidents et les risques sanitaires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Impacts qui ne résultent pas d’une utilisation en régime, mais de situations accidentelles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réelle ou probables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Impacts: probabilité de pollutions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Commentaires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Les explosions ou les accidents lors 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du transports</w:t>
      </w:r>
      <w:proofErr w:type="gramEnd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sont un risque très présent avec la filière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fossile (mines de charbon, marée noires, fuites de gaz).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Dans la filière nucléaire, on dénombre deux accidents majeurs ayant rendu inhabitable les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territoires impactés par la radioactivité.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lastRenderedPageBreak/>
        <w:t>Dans le cas de l’hydroélectricité, la rupture d’un barrage de retenue est un risque pour les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zones en aval.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Les risques sanitaires des accidents ou du fonctionnement normal sont d’autant plus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graves avec des produits dangereux ou toxiques issus des énergies fossiles ou de la filière</w:t>
      </w:r>
      <w:r w:rsidRPr="00177809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nucléaire.</w:t>
      </w:r>
    </w:p>
    <w:p w:rsidR="00177809" w:rsidRPr="000B7F62" w:rsidRDefault="00177809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Pr="004F4AE3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Utilisation de ressource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(5</w:t>
      </w:r>
      <w:r w:rsidRPr="000B7F62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) Utilisation de ressource naturelle </w:t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énergétique ou de </w:t>
      </w:r>
      <w:proofErr w:type="spell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process</w:t>
      </w:r>
      <w:proofErr w:type="spellEnd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(par exemple eau</w:t>
      </w:r>
      <w:proofErr w:type="gramStart"/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Distinction des ressources renouvelables (eau, flux d’énergie) et ressources non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renouvelables (ressources minières)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0B7F62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Impact : l’utilisation des ressources naturelles renouvelables peut mettre sous pression la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  <w:t>biodiversité.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  <w:t>L’utilisation de ressource non-renouvelable est une perte.</w:t>
      </w:r>
    </w:p>
    <w:p w:rsidR="004F4AE3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Méthode d’analyse de l’impact environnemental</w:t>
      </w:r>
      <w:r w:rsidR="00F83C6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d’un projet énergétique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34"/>
          <w:szCs w:val="34"/>
          <w:lang w:eastAsia="fr-FR"/>
        </w:rPr>
        <w:br/>
      </w:r>
      <w:r w:rsidRPr="004F4AE3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br/>
      </w:r>
      <w:r w:rsidRPr="004F4AE3">
        <w:rPr>
          <w:rFonts w:ascii="ArialMT" w:eastAsia="Times New Roman" w:hAnsi="ArialMT" w:cs="Times New Roman"/>
          <w:color w:val="000000"/>
          <w:sz w:val="24"/>
          <w:lang w:eastAsia="fr-FR"/>
        </w:rPr>
        <w:t>La méthode d’analyse comporte 4 étapes: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1. Définir la situation de référence substituée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par le projet.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Référence bien identifiée ou référence conventionnelle.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2. Analyser le cycle de vie du projet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(vision sur toute la chaîne de conversion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énergétique) du projet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3. Comparer l’ACV du projet avec la référence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impacts directs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(pollution, risque, espace occupé</w:t>
      </w:r>
      <w:proofErr w:type="gramStart"/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impacts globaux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(changement climatique, perte de biodiversité, perte de ressource)</w:t>
      </w:r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4. Synthèse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Analyse des impacts sur base des 5 catégories d’impacts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Distinction impacts dans nos frontières et hors de nos frontières</w:t>
      </w:r>
    </w:p>
    <w:p w:rsidR="00DD37F1" w:rsidRDefault="004F4AE3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  <w:proofErr w:type="spellStart"/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Reference</w:t>
      </w:r>
      <w:proofErr w:type="spellEnd"/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 substituée par le projet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L’impact d’un projet énergétique se mesure en comparaison avec l’impact de la référence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conventionnelle.</w:t>
      </w:r>
    </w:p>
    <w:p w:rsidR="004F4AE3" w:rsidRDefault="004F4AE3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Par exemple: « Les éoliennes réduisent les émissions de CO2 »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Les éoliennes produisent de l’électricité sans combustion et donc sans émissions de CO2</w:t>
      </w:r>
      <w:proofErr w:type="gramStart"/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.</w:t>
      </w:r>
      <w:proofErr w:type="gramEnd"/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« On devrait dire, les éoliennes n’émettent pas de CO2 »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Mais comme la production électrique des éoliennes se fait en substitution d’une production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électrique conventionnelle, qui elle émet du CO2, il est dit qu’elles réduisent les émissions de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CO2.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Le projet peut concerner une alternative, un arrêt ou une réduction/augmentation du recours à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l’énergie</w:t>
      </w:r>
    </w:p>
    <w:p w:rsidR="00DD37F1" w:rsidRPr="00DD37F1" w:rsidRDefault="00DD37F1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Référence conventionnelle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lastRenderedPageBreak/>
        <w:t>La référence conventionnelle est soit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le mix énergétique associé à cet usage énergétique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un système de référence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Références par énergie utile ou finale: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chaleur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: Combustibles et rendement de conversion de chaudière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électricité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: Centrale électrique de référence 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•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transport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: Pétrole et rendement des moteurs thermiques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L’impact global du recours à l’énergie se mesure à partir de cette référence conventionnelle.</w:t>
      </w:r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Emissions de CO2 et production d’énergie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Aujourd’hui, l’essentiel de l’énergie consommée par les pays développés est produite à partir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de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combustibles fossiles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(80% dans le monde; 90% en Grande Bretagne; 85% en Belgique)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Au vu des quantités consommées, outre les pollutions et risques environnementaux des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systèmes conventionnels de fourniture d’énergie, la combustion de combustibles fossiles émet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du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CO2 dans l’atmosphère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et modifie ainsi le cycle du carbone et engendre un effet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mesurable, et très probablement dangereux, sur le climat.</w:t>
      </w:r>
    </w:p>
    <w:p w:rsidR="004F4AE3" w:rsidRDefault="004F4AE3" w:rsidP="001778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Pr="00177809" w:rsidRDefault="004F4AE3" w:rsidP="001778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00083" cy="2724288"/>
            <wp:effectExtent l="19050" t="0" r="5167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466" cy="273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809" w:rsidRDefault="004F4AE3" w:rsidP="00177809">
      <w:pPr>
        <w:jc w:val="left"/>
      </w:pPr>
      <w:r>
        <w:rPr>
          <w:noProof/>
          <w:lang w:eastAsia="fr-FR"/>
        </w:rPr>
        <w:drawing>
          <wp:inline distT="0" distB="0" distL="0" distR="0">
            <wp:extent cx="3526732" cy="2242868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31" cy="224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AE3" w:rsidRDefault="004F4AE3" w:rsidP="00F83C69">
      <w:pPr>
        <w:spacing w:line="276" w:lineRule="auto"/>
        <w:jc w:val="left"/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lastRenderedPageBreak/>
        <w:t xml:space="preserve">Emissions de CO2 de la production d’énergie 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Émissions de CO2 sur l’ensemble du cycle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N1 : Préparation du combustible (extraction, raffinage,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conditionnement), Transport et mise à disposition et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Traitement des déchets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N2 : Combustion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N3 : Energie grise des équipements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</w:p>
    <w:p w:rsidR="004F4AE3" w:rsidRDefault="004F4AE3" w:rsidP="004F4AE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768971" cy="174743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863" cy="175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AE3" w:rsidRDefault="004F4AE3" w:rsidP="004F4AE3">
      <w:pPr>
        <w:jc w:val="center"/>
      </w:pPr>
    </w:p>
    <w:p w:rsidR="004F4AE3" w:rsidRPr="00DD37F1" w:rsidRDefault="004F4AE3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Emissions de CO2 par unité d’énergie utile consommée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Pour calculer l’émissions de CO2 d’une consommation d’énergie, il faut connaître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le type de source d’énergie brute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le coefficient d’émission N2 (quantité unitaire de CO2 émis pour sa combustion)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le coefficient d’émission N1(préparation du combustible)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le coefficient d’émission N3 (équipement)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• la quantité d’énergie consommée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Pour 1 kWh d’énergie nette consommée, il a fallu transformer une quantité d’énergie brute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(énergie primaire) selon le rendement de conversion de l’équipement utilisé.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Energie brute = Energie nette/ Rendement</w:t>
      </w:r>
    </w:p>
    <w:p w:rsidR="004F4AE3" w:rsidRPr="00DD37F1" w:rsidRDefault="004F4AE3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Emissions de CO2 = quantité d’énergie brute x Coefficient d’émission unitaire (N1+N2+N3</w:t>
      </w:r>
      <w:proofErr w:type="gramStart"/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)</w:t>
      </w:r>
      <w:proofErr w:type="gramEnd"/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Remarque : En pratique, N3 rarement utilisé. Mais il peut être </w:t>
      </w:r>
      <w:proofErr w:type="gramStart"/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estimé 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.</w:t>
      </w:r>
      <w:proofErr w:type="gramEnd"/>
    </w:p>
    <w:p w:rsidR="004F4AE3" w:rsidRPr="00DD37F1" w:rsidRDefault="004F4AE3" w:rsidP="00F83C6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Pr="00DD37F1" w:rsidRDefault="004F4AE3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Emissions de CO2 de l’électricité – N2</w:t>
      </w:r>
      <w:r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TGV = Turbine Gaz Vapeur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Pour l’électricité prélevée du réseau belge, il s’agit d’un « mix énergétique (Nucléaire, gaz</w:t>
      </w:r>
      <w:r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naturel, charbon, renouvelables).</w:t>
      </w:r>
    </w:p>
    <w:p w:rsidR="004F4AE3" w:rsidRPr="00DD37F1" w:rsidRDefault="004F4AE3" w:rsidP="00F83C69">
      <w:pPr>
        <w:spacing w:line="276" w:lineRule="auto"/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</w:p>
    <w:p w:rsidR="000B7F62" w:rsidRPr="00DD37F1" w:rsidRDefault="000B7F62" w:rsidP="00DD37F1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Ces valeurs ne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tiennent pas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compte des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émissions N1,</w:t>
      </w:r>
      <w:r w:rsid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t>N3.</w:t>
      </w:r>
    </w:p>
    <w:p w:rsidR="000B7F62" w:rsidRPr="00DD37F1" w:rsidRDefault="000B7F62" w:rsidP="004F4AE3">
      <w:pPr>
        <w:jc w:val="left"/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</w:pPr>
    </w:p>
    <w:p w:rsidR="004F4AE3" w:rsidRPr="004F4AE3" w:rsidRDefault="000B7F62" w:rsidP="00DD37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37F1">
        <w:rPr>
          <w:rFonts w:ascii="ArialMT" w:eastAsia="Times New Roman" w:hAnsi="ArialMT" w:cs="Times New Roman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2939810" cy="1906437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17" cy="190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4AE3" w:rsidRPr="004F4AE3">
        <w:rPr>
          <w:rFonts w:ascii="ArialMT" w:eastAsia="Times New Roman" w:hAnsi="ArialMT" w:cs="Times New Roman"/>
          <w:color w:val="000000"/>
          <w:sz w:val="24"/>
          <w:szCs w:val="24"/>
          <w:lang w:eastAsia="fr-FR"/>
        </w:rPr>
        <w:br/>
      </w:r>
      <w:r w:rsidR="004F4AE3"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Fig. Coefficient d’émissions du parc électrique </w:t>
      </w:r>
      <w:r w:rsidR="004F4AE3" w:rsidRPr="004F4AE3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br/>
      </w:r>
    </w:p>
    <w:p w:rsidR="004F4AE3" w:rsidRPr="00DD37F1" w:rsidRDefault="004F4AE3" w:rsidP="004F4AE3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4AE3" w:rsidRDefault="000B7F62" w:rsidP="00DD37F1">
      <w:pPr>
        <w:jc w:val="left"/>
      </w:pP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>Emissions de CO2 des centrales électriques en</w:t>
      </w:r>
      <w:r w:rsid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DD37F1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fr-FR"/>
        </w:rPr>
        <w:t xml:space="preserve">incluant la préparation du combustible </w:t>
      </w:r>
    </w:p>
    <w:p w:rsidR="000B7F62" w:rsidRDefault="000B7F62" w:rsidP="004F4AE3">
      <w:pPr>
        <w:jc w:val="left"/>
      </w:pPr>
      <w:r>
        <w:rPr>
          <w:noProof/>
          <w:lang w:eastAsia="fr-FR"/>
        </w:rPr>
        <w:drawing>
          <wp:inline distT="0" distB="0" distL="0" distR="0">
            <wp:extent cx="3306194" cy="1675067"/>
            <wp:effectExtent l="19050" t="0" r="8506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887" cy="167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F62" w:rsidRDefault="000B7F62" w:rsidP="004F4AE3">
      <w:pPr>
        <w:jc w:val="left"/>
      </w:pPr>
    </w:p>
    <w:p w:rsidR="000B7F62" w:rsidRDefault="000B7F62" w:rsidP="004F4AE3">
      <w:pPr>
        <w:jc w:val="left"/>
      </w:pPr>
      <w:r>
        <w:rPr>
          <w:noProof/>
          <w:lang w:eastAsia="fr-FR"/>
        </w:rPr>
        <w:drawing>
          <wp:inline distT="0" distB="0" distL="0" distR="0">
            <wp:extent cx="4793989" cy="3048074"/>
            <wp:effectExtent l="19050" t="0" r="6611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49" cy="304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F62" w:rsidRDefault="000B7F62" w:rsidP="004F4AE3">
      <w:pPr>
        <w:jc w:val="left"/>
      </w:pPr>
      <w:r>
        <w:rPr>
          <w:noProof/>
          <w:lang w:eastAsia="fr-FR"/>
        </w:rPr>
        <w:lastRenderedPageBreak/>
        <w:drawing>
          <wp:inline distT="0" distB="0" distL="0" distR="0">
            <wp:extent cx="4820369" cy="375315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097" cy="375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F62" w:rsidSect="002C76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77809"/>
    <w:rsid w:val="000B7F62"/>
    <w:rsid w:val="00177809"/>
    <w:rsid w:val="002C76AA"/>
    <w:rsid w:val="00394268"/>
    <w:rsid w:val="004E0A6E"/>
    <w:rsid w:val="004F4AE3"/>
    <w:rsid w:val="00DA1544"/>
    <w:rsid w:val="00DD37F1"/>
    <w:rsid w:val="00F574BB"/>
    <w:rsid w:val="00F8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177809"/>
    <w:rPr>
      <w:rFonts w:ascii="Arial-BoldMT" w:hAnsi="Arial-BoldM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Policepardfaut"/>
    <w:rsid w:val="0017780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8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809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Policepardfaut"/>
    <w:rsid w:val="00177809"/>
    <w:rPr>
      <w:rFonts w:ascii="ArialMT" w:hAnsi="ArialMT" w:hint="default"/>
      <w:b w:val="0"/>
      <w:bCs w:val="0"/>
      <w:i w:val="0"/>
      <w:iCs w:val="0"/>
      <w:color w:val="CC3300"/>
      <w:sz w:val="24"/>
      <w:szCs w:val="24"/>
    </w:rPr>
  </w:style>
  <w:style w:type="character" w:customStyle="1" w:styleId="fontstyle41">
    <w:name w:val="fontstyle41"/>
    <w:basedOn w:val="Policepardfaut"/>
    <w:rsid w:val="00177809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17780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1452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2022-01-07T18:57:00Z</dcterms:created>
  <dcterms:modified xsi:type="dcterms:W3CDTF">2022-01-07T19:43:00Z</dcterms:modified>
</cp:coreProperties>
</file>